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5B" w:rsidRDefault="00EE775B" w:rsidP="00412CA0">
      <w:pPr>
        <w:tabs>
          <w:tab w:val="left" w:pos="5245"/>
        </w:tabs>
        <w:jc w:val="both"/>
        <w:rPr>
          <w:b/>
          <w:u w:val="single"/>
        </w:rPr>
      </w:pPr>
      <w:r>
        <w:rPr>
          <w:b/>
          <w:u w:val="single"/>
        </w:rPr>
        <w:t xml:space="preserve">Diffusion : 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proofErr w:type="spellStart"/>
      <w:r w:rsidRPr="00AF4ED6">
        <w:t>Theologicum</w:t>
      </w:r>
      <w:proofErr w:type="spellEnd"/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Secrétariat Général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Direction Administrative et Financière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Direction des Ressources Humaines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Direction des Services Généraux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Direction des Systèmes d’Information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Direction du Développement Immobilier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Secrétariat Universitaire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Direction de l’Insertion Professionnelle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Vice-Rectorat Académique</w:t>
      </w:r>
    </w:p>
    <w:p w:rsidR="00AF4ED6" w:rsidRDefault="00AF4ED6" w:rsidP="00412CA0">
      <w:pPr>
        <w:pStyle w:val="Paragraphedeliste"/>
        <w:numPr>
          <w:ilvl w:val="0"/>
          <w:numId w:val="2"/>
        </w:numPr>
        <w:tabs>
          <w:tab w:val="left" w:pos="5245"/>
        </w:tabs>
        <w:jc w:val="both"/>
      </w:pPr>
      <w:r>
        <w:t>Service des Relations Internationales</w:t>
      </w:r>
    </w:p>
    <w:p w:rsidR="00AF4ED6" w:rsidRDefault="00AF4ED6" w:rsidP="00412CA0">
      <w:pPr>
        <w:pStyle w:val="Paragraphedeliste"/>
        <w:tabs>
          <w:tab w:val="left" w:pos="5245"/>
        </w:tabs>
        <w:jc w:val="both"/>
      </w:pPr>
    </w:p>
    <w:p w:rsidR="000C1147" w:rsidRDefault="000C1147" w:rsidP="00412CA0">
      <w:pPr>
        <w:pStyle w:val="Paragraphedeliste"/>
        <w:tabs>
          <w:tab w:val="left" w:pos="5245"/>
        </w:tabs>
        <w:jc w:val="both"/>
      </w:pPr>
    </w:p>
    <w:p w:rsidR="000C1147" w:rsidRDefault="000C1147" w:rsidP="00412CA0">
      <w:pPr>
        <w:pStyle w:val="Paragraphedeliste"/>
        <w:tabs>
          <w:tab w:val="left" w:pos="5245"/>
        </w:tabs>
        <w:jc w:val="both"/>
      </w:pPr>
    </w:p>
    <w:p w:rsidR="000C1147" w:rsidRDefault="000C1147" w:rsidP="00412CA0">
      <w:pPr>
        <w:pStyle w:val="Paragraphedeliste"/>
        <w:tabs>
          <w:tab w:val="left" w:pos="5245"/>
        </w:tabs>
        <w:jc w:val="both"/>
      </w:pPr>
      <w:r w:rsidRPr="000C1147">
        <w:rPr>
          <w:u w:val="single"/>
        </w:rPr>
        <w:t>Références </w:t>
      </w:r>
      <w:r>
        <w:t>: TK/TK/2015/09/29/001</w:t>
      </w:r>
    </w:p>
    <w:p w:rsidR="000C1147" w:rsidRPr="00AF4ED6" w:rsidRDefault="000C1147" w:rsidP="00412CA0">
      <w:pPr>
        <w:pStyle w:val="Paragraphedeliste"/>
        <w:tabs>
          <w:tab w:val="left" w:pos="5245"/>
        </w:tabs>
        <w:jc w:val="both"/>
      </w:pPr>
    </w:p>
    <w:p w:rsidR="00AF4ED6" w:rsidRPr="00AF4ED6" w:rsidRDefault="00DB2F2C" w:rsidP="00412CA0">
      <w:pPr>
        <w:tabs>
          <w:tab w:val="left" w:pos="5245"/>
        </w:tabs>
        <w:jc w:val="both"/>
      </w:pPr>
      <w:r>
        <w:tab/>
        <w:t xml:space="preserve">Paris, le </w:t>
      </w:r>
      <w:r w:rsidR="009F6851">
        <w:t>13</w:t>
      </w:r>
      <w:r>
        <w:t xml:space="preserve"> </w:t>
      </w:r>
      <w:r w:rsidR="009F6851">
        <w:t>février</w:t>
      </w:r>
      <w:r>
        <w:t xml:space="preserve"> 2015</w:t>
      </w:r>
    </w:p>
    <w:p w:rsidR="00EE775B" w:rsidRDefault="00EE775B" w:rsidP="00412CA0">
      <w:pPr>
        <w:tabs>
          <w:tab w:val="left" w:pos="5245"/>
        </w:tabs>
        <w:jc w:val="both"/>
        <w:rPr>
          <w:b/>
          <w:u w:val="single"/>
        </w:rPr>
      </w:pPr>
    </w:p>
    <w:p w:rsidR="00DB2F2C" w:rsidRDefault="00DB2F2C" w:rsidP="00412CA0">
      <w:pPr>
        <w:tabs>
          <w:tab w:val="left" w:pos="5245"/>
        </w:tabs>
        <w:jc w:val="both"/>
        <w:rPr>
          <w:b/>
          <w:sz w:val="44"/>
          <w:szCs w:val="44"/>
        </w:rPr>
      </w:pPr>
      <w:r w:rsidRPr="00DB2F2C">
        <w:rPr>
          <w:b/>
          <w:sz w:val="44"/>
          <w:szCs w:val="44"/>
        </w:rPr>
        <w:t>NOTE INTERNE</w:t>
      </w:r>
    </w:p>
    <w:p w:rsidR="000C1147" w:rsidRPr="00DB2F2C" w:rsidRDefault="000C1147" w:rsidP="00412CA0">
      <w:pPr>
        <w:tabs>
          <w:tab w:val="left" w:pos="5245"/>
        </w:tabs>
        <w:jc w:val="both"/>
        <w:rPr>
          <w:b/>
          <w:sz w:val="44"/>
          <w:szCs w:val="44"/>
        </w:rPr>
      </w:pPr>
    </w:p>
    <w:p w:rsidR="00907ADF" w:rsidRDefault="00763509" w:rsidP="00412CA0">
      <w:pPr>
        <w:tabs>
          <w:tab w:val="left" w:pos="5245"/>
        </w:tabs>
        <w:jc w:val="both"/>
      </w:pPr>
      <w:r w:rsidRPr="00763509">
        <w:rPr>
          <w:b/>
          <w:u w:val="single"/>
        </w:rPr>
        <w:t>Objet </w:t>
      </w:r>
      <w:r>
        <w:t>: Déménagement Branly - Campagne préalable d’archivage</w:t>
      </w:r>
    </w:p>
    <w:p w:rsidR="00763509" w:rsidRDefault="00763509" w:rsidP="00412CA0">
      <w:pPr>
        <w:tabs>
          <w:tab w:val="left" w:pos="5245"/>
        </w:tabs>
        <w:jc w:val="both"/>
      </w:pPr>
    </w:p>
    <w:p w:rsidR="00763509" w:rsidRDefault="00F856ED" w:rsidP="00412CA0">
      <w:pPr>
        <w:tabs>
          <w:tab w:val="left" w:pos="5245"/>
        </w:tabs>
        <w:jc w:val="both"/>
      </w:pPr>
      <w:r>
        <w:t>Chers collègues</w:t>
      </w:r>
      <w:r w:rsidR="00763509">
        <w:t>,</w:t>
      </w:r>
    </w:p>
    <w:p w:rsidR="00763509" w:rsidRDefault="00763509" w:rsidP="00412CA0">
      <w:pPr>
        <w:tabs>
          <w:tab w:val="left" w:pos="5245"/>
        </w:tabs>
        <w:jc w:val="both"/>
      </w:pPr>
    </w:p>
    <w:p w:rsidR="00763509" w:rsidRDefault="00A06C23" w:rsidP="00412CA0">
      <w:pPr>
        <w:tabs>
          <w:tab w:val="left" w:pos="5245"/>
        </w:tabs>
        <w:jc w:val="both"/>
      </w:pPr>
      <w:r>
        <w:t>Dans le cadre de v</w:t>
      </w:r>
      <w:r w:rsidR="00763509">
        <w:t>otre déménagement</w:t>
      </w:r>
      <w:r>
        <w:t xml:space="preserve"> prochain</w:t>
      </w:r>
      <w:r w:rsidR="00763509">
        <w:t xml:space="preserve"> dans le bâtiment Branly</w:t>
      </w:r>
      <w:r>
        <w:t>,</w:t>
      </w:r>
      <w:r w:rsidR="00763509">
        <w:t xml:space="preserve"> </w:t>
      </w:r>
      <w:r>
        <w:t>la</w:t>
      </w:r>
      <w:r w:rsidR="00763509">
        <w:t xml:space="preserve"> campagne d’archivage/tri est une importante phase préparatoire.</w:t>
      </w:r>
    </w:p>
    <w:p w:rsidR="00763509" w:rsidRDefault="00B61AF8" w:rsidP="00412CA0">
      <w:pPr>
        <w:tabs>
          <w:tab w:val="left" w:pos="5245"/>
        </w:tabs>
        <w:jc w:val="both"/>
      </w:pPr>
      <w:r>
        <w:t>Nous invitons</w:t>
      </w:r>
      <w:r w:rsidR="00763509">
        <w:t xml:space="preserve"> chaque service concerné par le déménagement à se poser la question de la gestion documentaire. Vos fonds documentaires se décomposent en</w:t>
      </w:r>
      <w:r>
        <w:t xml:space="preserve"> 3 types de documents définis selon les âges archivistiques</w:t>
      </w:r>
      <w:r w:rsidR="00763509">
        <w:t> :</w:t>
      </w:r>
    </w:p>
    <w:p w:rsidR="00763509" w:rsidRDefault="00B61AF8" w:rsidP="00412CA0">
      <w:pPr>
        <w:pStyle w:val="Paragraphedeliste"/>
        <w:numPr>
          <w:ilvl w:val="0"/>
          <w:numId w:val="1"/>
        </w:numPr>
        <w:tabs>
          <w:tab w:val="left" w:pos="5245"/>
        </w:tabs>
        <w:jc w:val="both"/>
      </w:pPr>
      <w:r w:rsidRPr="00B61AF8">
        <w:rPr>
          <w:b/>
        </w:rPr>
        <w:t xml:space="preserve">Les </w:t>
      </w:r>
      <w:r w:rsidR="009F0E66">
        <w:rPr>
          <w:b/>
        </w:rPr>
        <w:t>a</w:t>
      </w:r>
      <w:r w:rsidRPr="00B61AF8">
        <w:rPr>
          <w:b/>
        </w:rPr>
        <w:t>rchives courantes :</w:t>
      </w:r>
      <w:r w:rsidRPr="00B61AF8">
        <w:t xml:space="preserve"> les documents dont on se sert continuellement, que l’on ne considère pas comme des archives</w:t>
      </w:r>
      <w:r w:rsidR="00763509">
        <w:t xml:space="preserve"> : Il s’agit des documents indispensables à </w:t>
      </w:r>
      <w:r w:rsidR="00F856ED">
        <w:t xml:space="preserve">votre </w:t>
      </w:r>
      <w:r w:rsidR="00763509">
        <w:t>activité.</w:t>
      </w:r>
      <w:r w:rsidRPr="00B61AF8">
        <w:t xml:space="preserve"> </w:t>
      </w:r>
      <w:r>
        <w:t>Ces documents seront  transférés  au bâtiment Branly.</w:t>
      </w:r>
    </w:p>
    <w:p w:rsidR="00763509" w:rsidRDefault="00B61AF8" w:rsidP="00412CA0">
      <w:pPr>
        <w:pStyle w:val="Paragraphedeliste"/>
        <w:numPr>
          <w:ilvl w:val="0"/>
          <w:numId w:val="1"/>
        </w:numPr>
        <w:tabs>
          <w:tab w:val="left" w:pos="5245"/>
        </w:tabs>
        <w:jc w:val="both"/>
      </w:pPr>
      <w:r w:rsidRPr="00B61AF8">
        <w:rPr>
          <w:b/>
        </w:rPr>
        <w:lastRenderedPageBreak/>
        <w:t>Les archives intermédiaires :</w:t>
      </w:r>
      <w:r w:rsidRPr="00B61AF8">
        <w:t xml:space="preserve"> Les documents qu’il faut conserver pour des raisons légales.</w:t>
      </w:r>
      <w:r>
        <w:t xml:space="preserve"> </w:t>
      </w:r>
      <w:r w:rsidR="006159BC">
        <w:t>Ces d</w:t>
      </w:r>
      <w:r w:rsidR="00763509">
        <w:t xml:space="preserve">ocuments </w:t>
      </w:r>
      <w:r w:rsidR="006159BC">
        <w:t xml:space="preserve">sont </w:t>
      </w:r>
      <w:r w:rsidR="00763509">
        <w:t>conserv</w:t>
      </w:r>
      <w:r w:rsidR="006159BC">
        <w:t xml:space="preserve">és </w:t>
      </w:r>
      <w:r w:rsidR="00763509">
        <w:t>à l’extérieur du service</w:t>
      </w:r>
      <w:r w:rsidR="00F856ED">
        <w:t>,</w:t>
      </w:r>
      <w:r w:rsidR="00763509">
        <w:t xml:space="preserve"> à l’ICP ou chez un sous-traitant</w:t>
      </w:r>
      <w:r w:rsidR="006159BC">
        <w:t>. Le service peut si référer en cas de besoin (pour établir un certificat de scolarité par exemple).</w:t>
      </w:r>
    </w:p>
    <w:p w:rsidR="00763509" w:rsidRDefault="006159BC" w:rsidP="00412CA0">
      <w:pPr>
        <w:pStyle w:val="Paragraphedeliste"/>
        <w:numPr>
          <w:ilvl w:val="0"/>
          <w:numId w:val="1"/>
        </w:numPr>
        <w:tabs>
          <w:tab w:val="left" w:pos="5245"/>
        </w:tabs>
        <w:jc w:val="both"/>
      </w:pPr>
      <w:r w:rsidRPr="006159BC">
        <w:rPr>
          <w:b/>
        </w:rPr>
        <w:t>Les archives définitives :</w:t>
      </w:r>
      <w:r>
        <w:t xml:space="preserve"> Au terme de leur durée d’utilité administrative, les documents</w:t>
      </w:r>
      <w:r w:rsidRPr="006159BC">
        <w:rPr>
          <w:rFonts w:ascii="Garamond" w:hAnsi="Garamond"/>
          <w:sz w:val="26"/>
          <w:szCs w:val="26"/>
        </w:rPr>
        <w:t xml:space="preserve"> </w:t>
      </w:r>
      <w:r w:rsidRPr="00A06C23">
        <w:t xml:space="preserve">présentant </w:t>
      </w:r>
      <w:r w:rsidRPr="006159BC">
        <w:t>une valeur historique sont versés au Service des archives pour une conservation pérenne</w:t>
      </w:r>
      <w:r>
        <w:t>, les autres sont détruits.</w:t>
      </w:r>
    </w:p>
    <w:p w:rsidR="006159BC" w:rsidRDefault="006159BC" w:rsidP="00412CA0">
      <w:pPr>
        <w:tabs>
          <w:tab w:val="left" w:pos="5245"/>
        </w:tabs>
        <w:jc w:val="both"/>
        <w:rPr>
          <w:b/>
          <w:u w:val="single"/>
        </w:rPr>
      </w:pPr>
    </w:p>
    <w:p w:rsidR="006159BC" w:rsidRDefault="006159BC" w:rsidP="00412CA0">
      <w:pPr>
        <w:tabs>
          <w:tab w:val="left" w:pos="5245"/>
        </w:tabs>
        <w:jc w:val="both"/>
        <w:rPr>
          <w:b/>
          <w:u w:val="single"/>
        </w:rPr>
      </w:pPr>
      <w:r>
        <w:rPr>
          <w:b/>
          <w:u w:val="single"/>
        </w:rPr>
        <w:t>Procédures d’archivage</w:t>
      </w:r>
    </w:p>
    <w:p w:rsidR="00763509" w:rsidRPr="00412CA0" w:rsidRDefault="006159BC" w:rsidP="00412CA0">
      <w:pPr>
        <w:tabs>
          <w:tab w:val="left" w:pos="5245"/>
        </w:tabs>
        <w:jc w:val="both"/>
        <w:rPr>
          <w:b/>
        </w:rPr>
      </w:pPr>
      <w:r w:rsidRPr="00412CA0">
        <w:rPr>
          <w:b/>
        </w:rPr>
        <w:t>Les modalités pratiques du traitement des archives intermédiaires et des archives définitives sont présenté</w:t>
      </w:r>
      <w:r w:rsidR="00532D63" w:rsidRPr="00412CA0">
        <w:rPr>
          <w:b/>
        </w:rPr>
        <w:t>es</w:t>
      </w:r>
      <w:r w:rsidRPr="00412CA0">
        <w:rPr>
          <w:b/>
        </w:rPr>
        <w:t xml:space="preserve"> dans deux documents annexes.</w:t>
      </w:r>
    </w:p>
    <w:p w:rsidR="006D2F2B" w:rsidRDefault="006D2F2B" w:rsidP="00412CA0">
      <w:pPr>
        <w:tabs>
          <w:tab w:val="left" w:pos="5245"/>
        </w:tabs>
        <w:jc w:val="both"/>
      </w:pPr>
      <w:r>
        <w:t xml:space="preserve">A l’ICP, les archives </w:t>
      </w:r>
      <w:r w:rsidR="006159BC">
        <w:t xml:space="preserve">intermédiaires </w:t>
      </w:r>
      <w:r>
        <w:t>sont codifiées selon un standard défini en 200</w:t>
      </w:r>
      <w:r w:rsidR="00AF4ED6">
        <w:t>8</w:t>
      </w:r>
      <w:r>
        <w:t xml:space="preserve"> lors de la première campagne d’archivage externalisé. Cette codification est détaillée en annexe.</w:t>
      </w:r>
    </w:p>
    <w:p w:rsidR="006D2F2B" w:rsidRDefault="006D2F2B" w:rsidP="00412CA0">
      <w:pPr>
        <w:tabs>
          <w:tab w:val="left" w:pos="5245"/>
        </w:tabs>
        <w:jc w:val="both"/>
      </w:pPr>
      <w:r>
        <w:t>Le ou les lieux de stockages seront définis prochainement. Une partie pourra être stockée à l’ICP dans des locaux dédiés et sécurisés. En fonction des volumes, une autre partie pourra être externalisé</w:t>
      </w:r>
      <w:r w:rsidR="00A06C23">
        <w:t>e</w:t>
      </w:r>
      <w:r>
        <w:t xml:space="preserve"> chez notre prestataire </w:t>
      </w:r>
      <w:proofErr w:type="spellStart"/>
      <w:r>
        <w:t>Novarchive</w:t>
      </w:r>
      <w:proofErr w:type="spellEnd"/>
      <w:r>
        <w:t>.</w:t>
      </w:r>
      <w:r w:rsidR="00B75170">
        <w:t xml:space="preserve"> Il n’y a pas de local archive </w:t>
      </w:r>
      <w:r w:rsidR="00EE775B">
        <w:t>au bâtiment</w:t>
      </w:r>
      <w:r w:rsidR="00B75170">
        <w:t xml:space="preserve"> Branly.</w:t>
      </w:r>
    </w:p>
    <w:p w:rsidR="006D2F2B" w:rsidRDefault="006D2F2B" w:rsidP="00412CA0">
      <w:pPr>
        <w:tabs>
          <w:tab w:val="left" w:pos="5245"/>
        </w:tabs>
        <w:jc w:val="both"/>
      </w:pPr>
      <w:r>
        <w:t xml:space="preserve">Il est souhaitable que la campagne d’archivage soit </w:t>
      </w:r>
      <w:r w:rsidR="00A06C23">
        <w:t>démarrée</w:t>
      </w:r>
      <w:r>
        <w:t xml:space="preserve"> </w:t>
      </w:r>
      <w:r w:rsidR="00A06C23">
        <w:t>dès maintenant</w:t>
      </w:r>
      <w:r>
        <w:t xml:space="preserve"> afin que le cahier des charges de déménagement qui sera rédigé en mars tienne compte </w:t>
      </w:r>
      <w:r w:rsidR="00A06C23">
        <w:t xml:space="preserve">avec le plus de précision possible </w:t>
      </w:r>
      <w:r>
        <w:t>des documents à déménager à Branly.</w:t>
      </w:r>
    </w:p>
    <w:p w:rsidR="00AF4ED6" w:rsidRDefault="0020023D" w:rsidP="00412CA0">
      <w:pPr>
        <w:tabs>
          <w:tab w:val="left" w:pos="5245"/>
        </w:tabs>
        <w:jc w:val="both"/>
      </w:pPr>
      <w:r>
        <w:t xml:space="preserve">Pour connaître les délais de conservation des documents, vous pouvez consulter </w:t>
      </w:r>
      <w:r w:rsidR="00AF4ED6">
        <w:t>en annexe :</w:t>
      </w:r>
    </w:p>
    <w:p w:rsidR="00AF4ED6" w:rsidRDefault="00AF4ED6" w:rsidP="00412CA0">
      <w:pPr>
        <w:pStyle w:val="Paragraphedeliste"/>
        <w:numPr>
          <w:ilvl w:val="0"/>
          <w:numId w:val="1"/>
        </w:numPr>
        <w:tabs>
          <w:tab w:val="left" w:pos="5245"/>
        </w:tabs>
        <w:jc w:val="both"/>
      </w:pPr>
      <w:r>
        <w:t xml:space="preserve">Le tableau de gestion du </w:t>
      </w:r>
      <w:proofErr w:type="spellStart"/>
      <w:r>
        <w:t>Théologicum</w:t>
      </w:r>
      <w:proofErr w:type="spellEnd"/>
    </w:p>
    <w:p w:rsidR="006159BC" w:rsidRDefault="006159BC" w:rsidP="00412CA0">
      <w:pPr>
        <w:pStyle w:val="Paragraphedeliste"/>
        <w:numPr>
          <w:ilvl w:val="0"/>
          <w:numId w:val="1"/>
        </w:numPr>
        <w:tabs>
          <w:tab w:val="left" w:pos="5245"/>
        </w:tabs>
        <w:jc w:val="both"/>
      </w:pPr>
      <w:r>
        <w:t>Le tableau de gestion pour les autres facultés</w:t>
      </w:r>
    </w:p>
    <w:p w:rsidR="0020023D" w:rsidRDefault="00AF4ED6" w:rsidP="00412CA0">
      <w:pPr>
        <w:pStyle w:val="Paragraphedeliste"/>
        <w:numPr>
          <w:ilvl w:val="0"/>
          <w:numId w:val="1"/>
        </w:numPr>
        <w:tabs>
          <w:tab w:val="left" w:pos="5245"/>
        </w:tabs>
        <w:jc w:val="both"/>
      </w:pPr>
      <w:r>
        <w:t>Le tableau des délais de conservation des documents officiels extrait du site www.service-public.fr</w:t>
      </w:r>
      <w:r w:rsidR="0020023D">
        <w:t>.</w:t>
      </w:r>
    </w:p>
    <w:p w:rsidR="00EE775B" w:rsidRDefault="00EE775B" w:rsidP="00412CA0">
      <w:pPr>
        <w:tabs>
          <w:tab w:val="left" w:pos="5245"/>
        </w:tabs>
        <w:jc w:val="both"/>
      </w:pPr>
      <w:r>
        <w:t>Monsieur Serge SOLLOGOUB Archiviste de l’ICP</w:t>
      </w:r>
      <w:r w:rsidR="00532D63">
        <w:t xml:space="preserve"> (</w:t>
      </w:r>
      <w:hyperlink r:id="rId8" w:history="1">
        <w:r w:rsidR="00532D63" w:rsidRPr="00734F27">
          <w:rPr>
            <w:rStyle w:val="Lienhypertexte"/>
          </w:rPr>
          <w:t>archives@icp.fr</w:t>
        </w:r>
      </w:hyperlink>
      <w:r w:rsidR="00532D63">
        <w:t>)</w:t>
      </w:r>
      <w:r>
        <w:t xml:space="preserve"> est à votre disposition pour vous aider dans la structuration de votre gestion documentaire</w:t>
      </w:r>
      <w:r w:rsidR="006159BC">
        <w:t xml:space="preserve"> et l’établissement d’un tableau de gestion</w:t>
      </w:r>
      <w:r>
        <w:t>.</w:t>
      </w:r>
    </w:p>
    <w:p w:rsidR="00F856ED" w:rsidRPr="00D97EE4" w:rsidRDefault="00F856ED" w:rsidP="00412CA0">
      <w:pPr>
        <w:tabs>
          <w:tab w:val="left" w:pos="5245"/>
        </w:tabs>
        <w:jc w:val="both"/>
        <w:rPr>
          <w:b/>
          <w:u w:val="single"/>
        </w:rPr>
      </w:pPr>
      <w:r w:rsidRPr="00D97EE4">
        <w:rPr>
          <w:b/>
          <w:u w:val="single"/>
        </w:rPr>
        <w:t>Destruction de documents confidentiels :</w:t>
      </w:r>
    </w:p>
    <w:p w:rsidR="00F856ED" w:rsidRDefault="00F856ED" w:rsidP="00412CA0">
      <w:pPr>
        <w:tabs>
          <w:tab w:val="left" w:pos="5245"/>
        </w:tabs>
        <w:jc w:val="both"/>
      </w:pPr>
      <w:r>
        <w:t xml:space="preserve">Les documents confidentiels à détruire sont à déposer dans les conteneurs sécurisés. Il y en a : au RDC du </w:t>
      </w:r>
      <w:proofErr w:type="spellStart"/>
      <w:r>
        <w:t>Bt</w:t>
      </w:r>
      <w:proofErr w:type="spellEnd"/>
      <w:r>
        <w:t xml:space="preserve"> A devant l’accueil, RDC </w:t>
      </w:r>
      <w:proofErr w:type="spellStart"/>
      <w:r>
        <w:t>Bt</w:t>
      </w:r>
      <w:proofErr w:type="spellEnd"/>
      <w:r>
        <w:t xml:space="preserve"> R, 2</w:t>
      </w:r>
      <w:r w:rsidRPr="00F856ED">
        <w:rPr>
          <w:vertAlign w:val="superscript"/>
        </w:rPr>
        <w:t>ème</w:t>
      </w:r>
      <w:r>
        <w:t xml:space="preserve"> étage </w:t>
      </w:r>
      <w:proofErr w:type="spellStart"/>
      <w:r>
        <w:t>Bt</w:t>
      </w:r>
      <w:proofErr w:type="spellEnd"/>
      <w:r>
        <w:t xml:space="preserve"> J, 2éme étage </w:t>
      </w:r>
      <w:proofErr w:type="spellStart"/>
      <w:r>
        <w:t>Bt</w:t>
      </w:r>
      <w:proofErr w:type="spellEnd"/>
      <w:r>
        <w:t xml:space="preserve"> G. Ces conteneurs seront régulièrement vidés par notre prestataire qui fournira un certificat de destruction à la fin de l’opération.</w:t>
      </w:r>
    </w:p>
    <w:p w:rsidR="00F856ED" w:rsidRDefault="00F856ED" w:rsidP="00412CA0">
      <w:pPr>
        <w:tabs>
          <w:tab w:val="left" w:pos="5245"/>
        </w:tabs>
        <w:jc w:val="both"/>
      </w:pPr>
      <w:r>
        <w:t>Pour les documents à jeter sans caractère confidentiel</w:t>
      </w:r>
      <w:r w:rsidR="0020023D">
        <w:t xml:space="preserve">, vous pouvez utiliser les poubelles de recyclage à couvercle jaune. En cas de besoin, une poubelle de recyclage pourra être </w:t>
      </w:r>
      <w:r w:rsidR="00382565">
        <w:t>rapprochée</w:t>
      </w:r>
      <w:r w:rsidR="0020023D">
        <w:t xml:space="preserve"> du lieu de tri (faire une demande d’intervention sur intranet).</w:t>
      </w:r>
    </w:p>
    <w:p w:rsidR="009E07CA" w:rsidRDefault="009E07CA" w:rsidP="00412CA0">
      <w:pPr>
        <w:tabs>
          <w:tab w:val="left" w:pos="5245"/>
        </w:tabs>
        <w:jc w:val="both"/>
      </w:pPr>
    </w:p>
    <w:p w:rsidR="009E07CA" w:rsidRPr="009E07CA" w:rsidRDefault="009E07CA" w:rsidP="00412CA0">
      <w:pPr>
        <w:tabs>
          <w:tab w:val="left" w:pos="5245"/>
        </w:tabs>
        <w:jc w:val="both"/>
        <w:rPr>
          <w:b/>
          <w:u w:val="single"/>
        </w:rPr>
      </w:pPr>
      <w:r w:rsidRPr="009E07CA">
        <w:rPr>
          <w:b/>
          <w:u w:val="single"/>
        </w:rPr>
        <w:lastRenderedPageBreak/>
        <w:t>Quelques recommandations pratiques.</w:t>
      </w:r>
    </w:p>
    <w:p w:rsidR="009E07CA" w:rsidRDefault="009E07CA" w:rsidP="00412CA0">
      <w:pPr>
        <w:pStyle w:val="Paragraphedeliste"/>
        <w:numPr>
          <w:ilvl w:val="0"/>
          <w:numId w:val="3"/>
        </w:numPr>
        <w:tabs>
          <w:tab w:val="left" w:pos="5245"/>
        </w:tabs>
        <w:jc w:val="both"/>
      </w:pPr>
      <w:r>
        <w:t>Pour la bonne conservation des documents, il vaut mieux bien remplir la boîte d’archives.</w:t>
      </w:r>
    </w:p>
    <w:p w:rsidR="009E07CA" w:rsidRDefault="009E07CA" w:rsidP="00412CA0">
      <w:pPr>
        <w:pStyle w:val="Paragraphedeliste"/>
        <w:numPr>
          <w:ilvl w:val="0"/>
          <w:numId w:val="3"/>
        </w:numPr>
        <w:tabs>
          <w:tab w:val="left" w:pos="5245"/>
        </w:tabs>
        <w:jc w:val="both"/>
      </w:pPr>
      <w:r>
        <w:t>Indiquer de manière détaillée les documents insérés dans la boîte à l’aide du bordereau de versement.</w:t>
      </w:r>
    </w:p>
    <w:p w:rsidR="009E07CA" w:rsidRDefault="009E07CA" w:rsidP="00412CA0">
      <w:pPr>
        <w:pStyle w:val="Paragraphedeliste"/>
        <w:numPr>
          <w:ilvl w:val="0"/>
          <w:numId w:val="3"/>
        </w:numPr>
        <w:tabs>
          <w:tab w:val="left" w:pos="5245"/>
        </w:tabs>
        <w:jc w:val="both"/>
      </w:pPr>
      <w:r>
        <w:t>Indiquer les dates extrêmes des documents de la boîte.</w:t>
      </w:r>
    </w:p>
    <w:p w:rsidR="009E07CA" w:rsidRDefault="009E07CA" w:rsidP="00412CA0">
      <w:pPr>
        <w:tabs>
          <w:tab w:val="left" w:pos="5245"/>
        </w:tabs>
        <w:jc w:val="both"/>
      </w:pPr>
    </w:p>
    <w:p w:rsidR="009E07CA" w:rsidRDefault="00A06C23" w:rsidP="00412CA0">
      <w:pPr>
        <w:tabs>
          <w:tab w:val="left" w:pos="5245"/>
        </w:tabs>
        <w:jc w:val="both"/>
      </w:pPr>
      <w:r>
        <w:t xml:space="preserve">Pour tout ce qui concerne la politique d’archivage, les choix à faire de plans d’archivage, vous pouvez contacter Serge Sollogoub </w:t>
      </w:r>
      <w:r w:rsidR="009F6851">
        <w:t>(</w:t>
      </w:r>
      <w:hyperlink r:id="rId9" w:history="1">
        <w:r w:rsidR="009F6851" w:rsidRPr="00F45D57">
          <w:rPr>
            <w:rStyle w:val="Lienhypertexte"/>
          </w:rPr>
          <w:t>archives@icp.fr</w:t>
        </w:r>
      </w:hyperlink>
      <w:r w:rsidR="009F6851">
        <w:t xml:space="preserve">, 01-44-39-52-93) </w:t>
      </w:r>
      <w:r>
        <w:t>qui coordonne et pilote ces aspects.</w:t>
      </w:r>
    </w:p>
    <w:p w:rsidR="009F6851" w:rsidRDefault="009F6851" w:rsidP="00412CA0">
      <w:pPr>
        <w:tabs>
          <w:tab w:val="left" w:pos="5245"/>
        </w:tabs>
        <w:jc w:val="both"/>
      </w:pPr>
      <w:r>
        <w:t xml:space="preserve">Les opérations de préparation du déménagement (dont l’archivage) sont coordonnées par Sylvie Keller qui est maintenant joignable au 01-70-64-14-40 et par mail </w:t>
      </w:r>
      <w:hyperlink r:id="rId10" w:history="1">
        <w:r w:rsidRPr="00F45D57">
          <w:rPr>
            <w:rStyle w:val="Lienhypertexte"/>
          </w:rPr>
          <w:t>demenagement@icp.fr</w:t>
        </w:r>
      </w:hyperlink>
      <w:r>
        <w:t>.</w:t>
      </w:r>
    </w:p>
    <w:p w:rsidR="009F6851" w:rsidRDefault="009F6851" w:rsidP="00412CA0">
      <w:pPr>
        <w:tabs>
          <w:tab w:val="left" w:pos="5245"/>
        </w:tabs>
        <w:jc w:val="both"/>
      </w:pPr>
    </w:p>
    <w:p w:rsidR="00A06C23" w:rsidRDefault="00A06C23" w:rsidP="00412CA0">
      <w:pPr>
        <w:tabs>
          <w:tab w:val="left" w:pos="5245"/>
        </w:tabs>
        <w:jc w:val="both"/>
      </w:pPr>
    </w:p>
    <w:p w:rsidR="00382565" w:rsidRDefault="00382565" w:rsidP="00412CA0">
      <w:pPr>
        <w:tabs>
          <w:tab w:val="left" w:pos="5245"/>
        </w:tabs>
        <w:jc w:val="both"/>
      </w:pPr>
    </w:p>
    <w:p w:rsidR="00382565" w:rsidRDefault="00382565" w:rsidP="00412CA0">
      <w:pPr>
        <w:tabs>
          <w:tab w:val="left" w:pos="5245"/>
        </w:tabs>
        <w:jc w:val="both"/>
      </w:pPr>
      <w:r>
        <w:t>Bien cordialement</w:t>
      </w:r>
    </w:p>
    <w:p w:rsidR="00AF4ED6" w:rsidRDefault="00AF4ED6" w:rsidP="00412CA0">
      <w:pPr>
        <w:tabs>
          <w:tab w:val="left" w:pos="5245"/>
        </w:tabs>
        <w:jc w:val="both"/>
      </w:pPr>
    </w:p>
    <w:p w:rsidR="00AF4ED6" w:rsidRDefault="00AF4ED6" w:rsidP="00412CA0">
      <w:pPr>
        <w:tabs>
          <w:tab w:val="left" w:pos="5245"/>
        </w:tabs>
        <w:jc w:val="both"/>
      </w:pPr>
    </w:p>
    <w:p w:rsidR="00AF4ED6" w:rsidRDefault="00AF4ED6" w:rsidP="00412CA0">
      <w:pPr>
        <w:tabs>
          <w:tab w:val="left" w:pos="6379"/>
        </w:tabs>
        <w:spacing w:after="0"/>
        <w:jc w:val="both"/>
      </w:pPr>
      <w:proofErr w:type="spellStart"/>
      <w:r>
        <w:t>Tayeb</w:t>
      </w:r>
      <w:proofErr w:type="spellEnd"/>
      <w:r>
        <w:t xml:space="preserve"> KEBAÏLI</w:t>
      </w:r>
      <w:r w:rsidR="00532D63">
        <w:tab/>
        <w:t>Serge SOLLOGOUB</w:t>
      </w:r>
    </w:p>
    <w:p w:rsidR="00AF4ED6" w:rsidRDefault="00AF4ED6" w:rsidP="00412CA0">
      <w:pPr>
        <w:tabs>
          <w:tab w:val="left" w:pos="6379"/>
        </w:tabs>
        <w:spacing w:after="0"/>
        <w:jc w:val="both"/>
      </w:pPr>
      <w:r>
        <w:t xml:space="preserve">Directeur des Services Généraux </w:t>
      </w:r>
      <w:r w:rsidR="00532D63">
        <w:tab/>
        <w:t>Archiviste</w:t>
      </w:r>
    </w:p>
    <w:p w:rsidR="005456E4" w:rsidRDefault="005456E4" w:rsidP="00412CA0">
      <w:pPr>
        <w:tabs>
          <w:tab w:val="left" w:pos="6379"/>
        </w:tabs>
        <w:spacing w:after="0"/>
        <w:jc w:val="both"/>
      </w:pPr>
    </w:p>
    <w:p w:rsidR="005456E4" w:rsidRDefault="005456E4" w:rsidP="00412CA0">
      <w:pPr>
        <w:tabs>
          <w:tab w:val="left" w:pos="6379"/>
        </w:tabs>
        <w:spacing w:after="0"/>
        <w:jc w:val="both"/>
      </w:pPr>
    </w:p>
    <w:p w:rsidR="005456E4" w:rsidRDefault="005456E4" w:rsidP="005456E4">
      <w:pPr>
        <w:tabs>
          <w:tab w:val="left" w:pos="1134"/>
          <w:tab w:val="left" w:pos="6379"/>
        </w:tabs>
        <w:spacing w:after="0"/>
        <w:jc w:val="both"/>
      </w:pPr>
      <w:r>
        <w:t xml:space="preserve">P. J. : </w:t>
      </w:r>
      <w:r>
        <w:tab/>
        <w:t>- Procé</w:t>
      </w:r>
      <w:r w:rsidR="002D74D4">
        <w:t>dure archives intermédiaires</w:t>
      </w:r>
    </w:p>
    <w:p w:rsidR="002D74D4" w:rsidRDefault="002D74D4" w:rsidP="005456E4">
      <w:pPr>
        <w:tabs>
          <w:tab w:val="left" w:pos="1134"/>
          <w:tab w:val="left" w:pos="6379"/>
        </w:tabs>
        <w:spacing w:after="0"/>
        <w:jc w:val="both"/>
      </w:pPr>
      <w:r>
        <w:tab/>
        <w:t>- Procédure archives définitives</w:t>
      </w:r>
    </w:p>
    <w:p w:rsidR="002D74D4" w:rsidRDefault="002D74D4" w:rsidP="005456E4">
      <w:pPr>
        <w:tabs>
          <w:tab w:val="left" w:pos="1134"/>
          <w:tab w:val="left" w:pos="6379"/>
        </w:tabs>
        <w:spacing w:after="0"/>
        <w:jc w:val="both"/>
      </w:pPr>
      <w:r>
        <w:tab/>
        <w:t xml:space="preserve">- Tableau de Gestion du </w:t>
      </w:r>
      <w:proofErr w:type="spellStart"/>
      <w:r>
        <w:t>Theologicum</w:t>
      </w:r>
      <w:proofErr w:type="spellEnd"/>
    </w:p>
    <w:p w:rsidR="002D74D4" w:rsidRDefault="002D74D4" w:rsidP="005456E4">
      <w:pPr>
        <w:tabs>
          <w:tab w:val="left" w:pos="1134"/>
          <w:tab w:val="left" w:pos="6379"/>
        </w:tabs>
        <w:spacing w:after="0"/>
        <w:jc w:val="both"/>
      </w:pPr>
      <w:r>
        <w:tab/>
        <w:t>- Tableau de gestion des facultés</w:t>
      </w:r>
    </w:p>
    <w:p w:rsidR="002D74D4" w:rsidRDefault="002D74D4" w:rsidP="005456E4">
      <w:pPr>
        <w:tabs>
          <w:tab w:val="left" w:pos="1134"/>
          <w:tab w:val="left" w:pos="6379"/>
        </w:tabs>
        <w:spacing w:after="0"/>
        <w:jc w:val="both"/>
      </w:pPr>
      <w:r>
        <w:tab/>
        <w:t>- Liste des délais de conservation légaux</w:t>
      </w:r>
    </w:p>
    <w:p w:rsidR="002D74D4" w:rsidRDefault="002D74D4" w:rsidP="005456E4">
      <w:pPr>
        <w:tabs>
          <w:tab w:val="left" w:pos="1134"/>
          <w:tab w:val="left" w:pos="6379"/>
        </w:tabs>
        <w:spacing w:after="0"/>
        <w:jc w:val="both"/>
      </w:pPr>
      <w:r>
        <w:tab/>
        <w:t>- Bordereau de versement des archives définitives</w:t>
      </w:r>
    </w:p>
    <w:p w:rsidR="002D74D4" w:rsidRDefault="002D74D4" w:rsidP="005456E4">
      <w:pPr>
        <w:tabs>
          <w:tab w:val="left" w:pos="1134"/>
          <w:tab w:val="left" w:pos="6379"/>
        </w:tabs>
        <w:spacing w:after="0"/>
        <w:jc w:val="both"/>
      </w:pPr>
      <w:r>
        <w:tab/>
        <w:t>- Bordereau de destruction</w:t>
      </w:r>
      <w:bookmarkStart w:id="0" w:name="_GoBack"/>
      <w:bookmarkEnd w:id="0"/>
    </w:p>
    <w:sectPr w:rsidR="002D74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2C" w:rsidRDefault="00DB2F2C" w:rsidP="00DB2F2C">
      <w:pPr>
        <w:spacing w:after="0" w:line="240" w:lineRule="auto"/>
      </w:pPr>
      <w:r>
        <w:separator/>
      </w:r>
    </w:p>
  </w:endnote>
  <w:endnote w:type="continuationSeparator" w:id="0">
    <w:p w:rsidR="00DB2F2C" w:rsidRDefault="00DB2F2C" w:rsidP="00D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2C" w:rsidRPr="00DB2F2C" w:rsidRDefault="00DB2F2C" w:rsidP="00DB2F2C">
    <w:pPr>
      <w:pStyle w:val="Pieddepage"/>
      <w:ind w:firstLine="1416"/>
      <w:rPr>
        <w:rFonts w:ascii="Tahoma" w:eastAsia="Times New Roman" w:hAnsi="Tahoma" w:cs="Tahoma"/>
        <w:b/>
        <w:color w:val="4C2582"/>
        <w:spacing w:val="4"/>
        <w:sz w:val="14"/>
        <w:szCs w:val="16"/>
        <w:lang w:bidi="ne-IN"/>
      </w:rPr>
    </w:pPr>
    <w:r>
      <w:rPr>
        <w:noProof/>
        <w:sz w:val="14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77F66FAD" wp14:editId="44273AF4">
          <wp:simplePos x="0" y="0"/>
          <wp:positionH relativeFrom="column">
            <wp:posOffset>-3810</wp:posOffset>
          </wp:positionH>
          <wp:positionV relativeFrom="paragraph">
            <wp:posOffset>26670</wp:posOffset>
          </wp:positionV>
          <wp:extent cx="781050" cy="177800"/>
          <wp:effectExtent l="0" t="0" r="0" b="0"/>
          <wp:wrapNone/>
          <wp:docPr id="2" name="Image 11" descr="Cartouche I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artouche I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 w:rsidRPr="00DB2F2C">
      <w:rPr>
        <w:rFonts w:ascii="Tahoma" w:eastAsia="Times New Roman" w:hAnsi="Tahoma" w:cs="Tahoma"/>
        <w:color w:val="4C2582"/>
        <w:spacing w:val="4"/>
        <w:sz w:val="14"/>
        <w:szCs w:val="16"/>
        <w:lang w:bidi="ne-IN"/>
      </w:rPr>
      <w:t>21 rue d’Assas 75270 Paris cedex 06</w:t>
    </w:r>
    <w:r w:rsidRPr="00DB2F2C">
      <w:rPr>
        <w:rFonts w:ascii="Tahoma" w:eastAsia="Times New Roman" w:hAnsi="Tahoma" w:cs="Tahoma"/>
        <w:b/>
        <w:color w:val="4C2582"/>
        <w:spacing w:val="4"/>
        <w:sz w:val="14"/>
        <w:szCs w:val="16"/>
        <w:lang w:bidi="ne-IN"/>
      </w:rPr>
      <w:t xml:space="preserve"> </w:t>
    </w:r>
  </w:p>
  <w:p w:rsidR="00DB2F2C" w:rsidRDefault="00DB2F2C" w:rsidP="00DB2F2C">
    <w:pPr>
      <w:pStyle w:val="Pieddepage"/>
    </w:pPr>
    <w:proofErr w:type="spellStart"/>
    <w:r w:rsidRPr="00DB2F2C">
      <w:rPr>
        <w:rFonts w:ascii="Tahoma" w:eastAsia="Times New Roman" w:hAnsi="Tahoma" w:cs="Tahoma"/>
        <w:color w:val="4C2582"/>
        <w:spacing w:val="4"/>
        <w:sz w:val="14"/>
        <w:szCs w:val="16"/>
        <w:lang w:bidi="ne-IN"/>
      </w:rPr>
      <w:t>Établissemen</w:t>
    </w:r>
    <w:proofErr w:type="spellEnd"/>
    <w:r>
      <w:rPr>
        <w:rFonts w:ascii="Tahoma" w:eastAsia="Times New Roman" w:hAnsi="Tahoma" w:cs="Tahoma"/>
        <w:color w:val="4C2582"/>
        <w:spacing w:val="4"/>
        <w:sz w:val="14"/>
        <w:szCs w:val="16"/>
        <w:lang w:bidi="ne-IN"/>
      </w:rPr>
      <w:t xml:space="preserve">        </w:t>
    </w:r>
    <w:r>
      <w:rPr>
        <w:rFonts w:ascii="Tahoma" w:eastAsia="Times New Roman" w:hAnsi="Tahoma" w:cs="Tahoma"/>
        <w:color w:val="4C2582"/>
        <w:spacing w:val="4"/>
        <w:sz w:val="14"/>
        <w:szCs w:val="16"/>
        <w:lang w:bidi="ne-IN"/>
      </w:rPr>
      <w:tab/>
      <w:t>Etablissement</w:t>
    </w:r>
    <w:r w:rsidRPr="00DB2F2C">
      <w:rPr>
        <w:rFonts w:ascii="Tahoma" w:eastAsia="Times New Roman" w:hAnsi="Tahoma" w:cs="Tahoma"/>
        <w:color w:val="4C2582"/>
        <w:spacing w:val="4"/>
        <w:sz w:val="14"/>
        <w:szCs w:val="16"/>
        <w:lang w:bidi="ne-IN"/>
      </w:rPr>
      <w:t xml:space="preserve"> privé d’enseignement supérieur – Association reconnue d’utilité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2C" w:rsidRDefault="00DB2F2C" w:rsidP="00DB2F2C">
      <w:pPr>
        <w:spacing w:after="0" w:line="240" w:lineRule="auto"/>
      </w:pPr>
      <w:r>
        <w:separator/>
      </w:r>
    </w:p>
  </w:footnote>
  <w:footnote w:type="continuationSeparator" w:id="0">
    <w:p w:rsidR="00DB2F2C" w:rsidRDefault="00DB2F2C" w:rsidP="00D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2C" w:rsidRDefault="00DB2F2C">
    <w:pPr>
      <w:pStyle w:val="En-tte"/>
    </w:pPr>
    <w:r>
      <w:rPr>
        <w:noProof/>
        <w:lang w:eastAsia="fr-FR"/>
      </w:rPr>
      <w:drawing>
        <wp:inline distT="0" distB="0" distL="0" distR="0" wp14:anchorId="67022C64" wp14:editId="596DE114">
          <wp:extent cx="1114425" cy="619125"/>
          <wp:effectExtent l="0" t="0" r="9525" b="9525"/>
          <wp:docPr id="1" name="Image 10" descr="LOGO  ICP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LOGO  ICP 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F2C" w:rsidRDefault="00DB2F2C">
    <w:pPr>
      <w:pStyle w:val="En-tte"/>
    </w:pPr>
    <w:r>
      <w:tab/>
    </w:r>
    <w:r>
      <w:tab/>
    </w:r>
    <w:r w:rsidRPr="00196D59">
      <w:rPr>
        <w:sz w:val="16"/>
      </w:rPr>
      <w:t>Page :</w:t>
    </w:r>
    <w:r>
      <w:t xml:space="preserve"> </w:t>
    </w:r>
    <w:r w:rsidRPr="00196D59">
      <w:rPr>
        <w:sz w:val="16"/>
      </w:rPr>
      <w:fldChar w:fldCharType="begin"/>
    </w:r>
    <w:r w:rsidRPr="00196D59">
      <w:rPr>
        <w:sz w:val="16"/>
      </w:rPr>
      <w:instrText>PAGE  \* Arabic  \* MERGEFORMAT</w:instrText>
    </w:r>
    <w:r w:rsidRPr="00196D59">
      <w:rPr>
        <w:sz w:val="16"/>
      </w:rPr>
      <w:fldChar w:fldCharType="separate"/>
    </w:r>
    <w:r w:rsidR="002D74D4">
      <w:rPr>
        <w:noProof/>
        <w:sz w:val="16"/>
      </w:rPr>
      <w:t>2</w:t>
    </w:r>
    <w:r w:rsidRPr="00196D59">
      <w:rPr>
        <w:sz w:val="16"/>
      </w:rPr>
      <w:fldChar w:fldCharType="end"/>
    </w:r>
    <w:r w:rsidRPr="00196D59">
      <w:rPr>
        <w:sz w:val="16"/>
      </w:rPr>
      <w:t xml:space="preserve"> </w:t>
    </w:r>
    <w:r>
      <w:rPr>
        <w:sz w:val="16"/>
      </w:rPr>
      <w:t>/</w:t>
    </w:r>
    <w:r w:rsidRPr="00196D59">
      <w:rPr>
        <w:sz w:val="16"/>
      </w:rPr>
      <w:fldChar w:fldCharType="begin"/>
    </w:r>
    <w:r w:rsidRPr="00196D59">
      <w:rPr>
        <w:sz w:val="16"/>
      </w:rPr>
      <w:instrText>NUMPAGES  \* Arabic  \* MERGEFORMAT</w:instrText>
    </w:r>
    <w:r w:rsidRPr="00196D59">
      <w:rPr>
        <w:sz w:val="16"/>
      </w:rPr>
      <w:fldChar w:fldCharType="separate"/>
    </w:r>
    <w:r w:rsidR="002D74D4">
      <w:rPr>
        <w:noProof/>
        <w:sz w:val="16"/>
      </w:rPr>
      <w:t>3</w:t>
    </w:r>
    <w:r w:rsidRPr="00196D59"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7F0"/>
    <w:multiLevelType w:val="hybridMultilevel"/>
    <w:tmpl w:val="545E30E2"/>
    <w:lvl w:ilvl="0" w:tplc="B5B21F3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A5DC9"/>
    <w:multiLevelType w:val="hybridMultilevel"/>
    <w:tmpl w:val="FEDE4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152BC"/>
    <w:multiLevelType w:val="hybridMultilevel"/>
    <w:tmpl w:val="4C0CD200"/>
    <w:lvl w:ilvl="0" w:tplc="CD3AC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09"/>
    <w:rsid w:val="000C1147"/>
    <w:rsid w:val="0020023D"/>
    <w:rsid w:val="002D74D4"/>
    <w:rsid w:val="003810D8"/>
    <w:rsid w:val="00382565"/>
    <w:rsid w:val="00412CA0"/>
    <w:rsid w:val="00532D63"/>
    <w:rsid w:val="005456E4"/>
    <w:rsid w:val="006159BC"/>
    <w:rsid w:val="006D2F2B"/>
    <w:rsid w:val="00763509"/>
    <w:rsid w:val="00907ADF"/>
    <w:rsid w:val="009E07CA"/>
    <w:rsid w:val="009F0E66"/>
    <w:rsid w:val="009F6851"/>
    <w:rsid w:val="00A06C23"/>
    <w:rsid w:val="00A439D5"/>
    <w:rsid w:val="00AF4ED6"/>
    <w:rsid w:val="00B61AF8"/>
    <w:rsid w:val="00B75170"/>
    <w:rsid w:val="00BC7CB9"/>
    <w:rsid w:val="00D97EE4"/>
    <w:rsid w:val="00DB2F2C"/>
    <w:rsid w:val="00EE775B"/>
    <w:rsid w:val="00F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5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56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F2C"/>
  </w:style>
  <w:style w:type="paragraph" w:styleId="Pieddepage">
    <w:name w:val="footer"/>
    <w:basedOn w:val="Normal"/>
    <w:link w:val="PieddepageCar"/>
    <w:uiPriority w:val="99"/>
    <w:unhideWhenUsed/>
    <w:rsid w:val="00D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F2C"/>
  </w:style>
  <w:style w:type="paragraph" w:styleId="Textedebulles">
    <w:name w:val="Balloon Text"/>
    <w:basedOn w:val="Normal"/>
    <w:link w:val="TextedebullesCar"/>
    <w:uiPriority w:val="99"/>
    <w:semiHidden/>
    <w:unhideWhenUsed/>
    <w:rsid w:val="00DB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5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56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F2C"/>
  </w:style>
  <w:style w:type="paragraph" w:styleId="Pieddepage">
    <w:name w:val="footer"/>
    <w:basedOn w:val="Normal"/>
    <w:link w:val="PieddepageCar"/>
    <w:uiPriority w:val="99"/>
    <w:unhideWhenUsed/>
    <w:rsid w:val="00D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F2C"/>
  </w:style>
  <w:style w:type="paragraph" w:styleId="Textedebulles">
    <w:name w:val="Balloon Text"/>
    <w:basedOn w:val="Normal"/>
    <w:link w:val="TextedebullesCar"/>
    <w:uiPriority w:val="99"/>
    <w:semiHidden/>
    <w:unhideWhenUsed/>
    <w:rsid w:val="00DB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@icp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menagement@ic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ves@icp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 KEBAÏLI</dc:creator>
  <cp:lastModifiedBy>Serge SOLLOGOUB</cp:lastModifiedBy>
  <cp:revision>5</cp:revision>
  <cp:lastPrinted>2015-01-29T15:57:00Z</cp:lastPrinted>
  <dcterms:created xsi:type="dcterms:W3CDTF">2015-02-10T08:45:00Z</dcterms:created>
  <dcterms:modified xsi:type="dcterms:W3CDTF">2015-02-13T14:25:00Z</dcterms:modified>
</cp:coreProperties>
</file>